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520F" w:rsidRPr="00C50B4D" w:rsidTr="006C7456">
        <w:tc>
          <w:tcPr>
            <w:tcW w:w="5000" w:type="pct"/>
            <w:hideMark/>
          </w:tcPr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Nabór kandydatów n</w:t>
            </w:r>
            <w:r w:rsidR="006C74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 ławników sądowych na lata 2020 – 2023</w:t>
            </w:r>
          </w:p>
          <w:p w:rsid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 ZGŁASZANIA KANDYDATUR UPŁYWA </w:t>
            </w:r>
            <w:r w:rsidR="006C74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30 czerwca 2019</w:t>
            </w: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roku</w:t>
            </w:r>
          </w:p>
          <w:p w:rsidR="006766E1" w:rsidRPr="00C50B4D" w:rsidRDefault="006766E1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Uprzejmie informujemy wszystkich zainteresowanych mieszk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ańców, że w dniu 31 grudnia 2019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upływa kadencj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ławników wybranych w 2015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W związku z powyższym, zgodnie z obowiązującymi przepisami ustawy z dnia 27 lipca 2001 r. Prawo o ustroju sądów powszechnych (Dz. U.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2019r.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poz.52</w:t>
            </w:r>
            <w:r w:rsidR="00AA75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AA75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późn</w:t>
            </w:r>
            <w:proofErr w:type="spellEnd"/>
            <w:r w:rsidR="00AA75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 oraz R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ozporządzeniem Mi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nistra Sprawiedliwości z dnia 9 czerwca  2011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w spra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wie sposobu postępowania z dokumentami złożonymi radom gmin przy zgłaszaniu kandydatów na ławników oraz wzoru karty zgłoszenia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(Dz. U. Nr 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121, poz. 693</w:t>
            </w: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Rada Gminy 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Dąbrowa Zielona</w:t>
            </w: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jesienią bieżącego roku dok</w:t>
            </w:r>
            <w:r w:rsidR="006C7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ona wyboru ławników na lata 2020 - 2023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Pr="007E520F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Ławnikiem może być wybrany ten, kto:</w:t>
            </w:r>
          </w:p>
          <w:p w:rsidR="007A0795" w:rsidRPr="00C50B4D" w:rsidRDefault="007A0795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Pr="00B057B3" w:rsidRDefault="00C50B4D" w:rsidP="00B057B3">
            <w:pPr>
              <w:pStyle w:val="Akapitzlist"/>
              <w:numPr>
                <w:ilvl w:val="0"/>
                <w:numId w:val="9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 obywatelstwo polskie i korzysta z pełni praw cywilnych i obywatelskich,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9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nieskazitelnego charakteru,</w:t>
            </w:r>
          </w:p>
          <w:p w:rsidR="00C50B4D" w:rsidRPr="00B057B3" w:rsidRDefault="00A47CDE" w:rsidP="00B057B3">
            <w:pPr>
              <w:pStyle w:val="Akapitzlist"/>
              <w:numPr>
                <w:ilvl w:val="0"/>
                <w:numId w:val="9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ukończył 30 lat</w:t>
            </w:r>
            <w:r w:rsidR="00C50B4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0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zatrudniony</w:t>
            </w:r>
            <w:r w:rsidR="00A47CDE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prowadzi działalność gospodarczą  lub mieszka 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miejscu kandydowania co najmniej od roku,</w:t>
            </w:r>
          </w:p>
          <w:p w:rsidR="00A47CDE" w:rsidRPr="00B057B3" w:rsidRDefault="00A47CDE" w:rsidP="00B057B3">
            <w:pPr>
              <w:pStyle w:val="Akapitzlist"/>
              <w:numPr>
                <w:ilvl w:val="0"/>
                <w:numId w:val="10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przekroczył 70 lat, 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0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zdolny, ze względu na stan zdrowia, do pełnienia obowiązków ławnika,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0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 co</w:t>
            </w:r>
            <w:r w:rsidR="007A0795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najmniej wykształcenie średnie</w:t>
            </w:r>
            <w:r w:rsidR="00A47CDE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średnie branżowe</w:t>
            </w:r>
            <w:r w:rsidR="007A0795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7A0795" w:rsidRPr="00C50B4D" w:rsidRDefault="007A0795" w:rsidP="002A330A">
            <w:pPr>
              <w:spacing w:after="0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Ławnikami nie mogą być: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zatrudnione w sądach powszechnych i innych sądach oraz w prokuraturze,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wchodzące w skład organów, od których orzeczenia można żądać skierowania sprawy na drogę postępowania sądowego,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funkcjonariusze Policji oraz inne osoby zajmujące stanowiska związane ze ściganiem przestępstw i wykroczeń,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adwokaci i aplikanci adwokaccy,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radcy prawni i aplikanci radcowscy,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duchowni,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żołnierze w czynnej służbie wojskowej,</w:t>
            </w:r>
          </w:p>
          <w:p w:rsidR="00C50B4D" w:rsidRPr="00B057B3" w:rsidRDefault="00B057B3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C50B4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unkcjonariusze Służby Więziennej,</w:t>
            </w:r>
          </w:p>
          <w:p w:rsidR="00C50B4D" w:rsidRPr="00B057B3" w:rsidRDefault="00A47CDE" w:rsidP="00B057B3">
            <w:pPr>
              <w:pStyle w:val="Akapitzlist"/>
              <w:numPr>
                <w:ilvl w:val="0"/>
                <w:numId w:val="1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radni gminy, powiatu i województwa</w:t>
            </w:r>
            <w:r w:rsidR="00C50B4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można być ławnikiem jednocześnie w więcej niż jednym sądzie.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Kandydatów na ławników zgłaszają radom gmin prezesi </w:t>
            </w:r>
            <w:r w:rsidR="00096B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właściwych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sądów, stowarzyszenia</w:t>
            </w:r>
            <w:r w:rsidR="007E1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inne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organizacje</w:t>
            </w:r>
            <w:r w:rsidR="007E1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społeczne i zawodowe, zarejestrowane na podstawie przepisów prawa ( z wyłączeniem partii politycznych) oraz co najmniej 50 obywateli mających czynne prawo wyborcze, zamieszkujących stale na terenie gminy dokonującej wyboru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7E1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="007E1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terminie do dnia 30 czerwca 2019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  <w:p w:rsidR="00AA75EB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br/>
              <w:t xml:space="preserve">Procedurę wyboru ławników, szczegółowy tryb zgłaszania radom gmin kandydatów na ławników oraz wzór karty zgłoszenia, określa ustawa - Prawo o ustroju sądów powszechnych (rozdział 7) oraz </w:t>
            </w:r>
            <w:r w:rsidR="00AA75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096B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ozporządzenie</w:t>
            </w:r>
            <w:r w:rsidR="00AA75EB"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</w:t>
            </w:r>
            <w:r w:rsidR="00AA75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nistra Sprawiedliwości z dnia 9 czerwca  2011</w:t>
            </w:r>
            <w:r w:rsidR="00AA75EB"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w spra</w:t>
            </w:r>
            <w:r w:rsidR="00AA75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wie sposobu postępowania z dokumentami złożonymi radom gmin przy zgłaszaniu kandydatów na ławników oraz wzoru karty zgłoszenia </w:t>
            </w:r>
            <w:r w:rsidR="00AA75EB"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(Dz. U. Nr </w:t>
            </w:r>
            <w:r w:rsidR="00AA75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121, poz. 693</w:t>
            </w:r>
            <w:r w:rsidR="00AA75EB"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AA75EB" w:rsidRDefault="00AA75EB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ZGŁASZANIE KANDYDATÓW PRZEZ MIESZKAŃCÓW GMINY</w:t>
            </w: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Zgłoszenia kandydatów na ławników dokonuje się na karcie zgłoszenia. Do karty złożonej przez obywateli dołącza się listę osób, zawierającą imię (imiona), nazwisko, numer ewidencyjny PESEL, miejsce stałego zamieszkania i własnoręczny podpis każdej z </w:t>
            </w:r>
            <w:r w:rsidR="002B6AB9" w:rsidRPr="007E520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pięćdziesięciu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osób zgłaszających kandydata.</w:t>
            </w:r>
          </w:p>
          <w:p w:rsidR="00C50B4D" w:rsidRDefault="003E0C71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Osobą u</w:t>
            </w:r>
            <w:r w:rsidR="00C50B4D"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prawnioną do składania wyjaśnień w sprawie zgłoszenia kandydata na ławnik</w:t>
            </w:r>
            <w:r w:rsidR="00096B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 przez obywateli jest </w:t>
            </w:r>
            <w:r w:rsidR="00C50B4D"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</w:t>
            </w:r>
            <w:r w:rsidR="00096B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której nazwisko zostało umieszczone jako pierwsze na liście</w:t>
            </w:r>
            <w:r w:rsidR="00C50B4D"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532BE3" w:rsidRPr="00C50B4D" w:rsidRDefault="00532BE3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Wzór karty </w:t>
            </w:r>
            <w:r w:rsidR="003E0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zgłoszenia </w:t>
            </w: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można</w:t>
            </w:r>
            <w:r w:rsidRPr="007E5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otrzymać w Urzędzie Gminy </w:t>
            </w:r>
            <w:r w:rsidR="002A3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Dąbrowa Zielona</w:t>
            </w:r>
            <w:r w:rsidRPr="007E5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pokój N</w:t>
            </w:r>
            <w:r w:rsidR="002A3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 112</w:t>
            </w: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Karta zgłoszenia dostępna jest również na stronie internetowej gminy</w:t>
            </w:r>
            <w:r w:rsidR="003E0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hyperlink r:id="rId6" w:history="1">
              <w:r w:rsidR="002A330A" w:rsidRPr="00312787">
                <w:rPr>
                  <w:rStyle w:val="Hipercze"/>
                  <w:rFonts w:ascii="Arial" w:eastAsia="Times New Roman" w:hAnsi="Arial" w:cs="Arial"/>
                  <w:b/>
                  <w:bCs/>
                  <w:sz w:val="24"/>
                  <w:szCs w:val="24"/>
                  <w:lang w:eastAsia="pl-PL"/>
                </w:rPr>
                <w:t>www.dabrowazielona.pl</w:t>
              </w:r>
            </w:hyperlink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  <w:p w:rsidR="00532BE3" w:rsidRPr="00C50B4D" w:rsidRDefault="00532BE3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karty zgłoszenia kandydat na ławnika ma obowiązek załączyć:</w:t>
            </w:r>
          </w:p>
          <w:p w:rsidR="003E0C71" w:rsidRPr="00B057B3" w:rsidRDefault="003E0C71" w:rsidP="00B057B3">
            <w:pPr>
              <w:pStyle w:val="Akapitzlist"/>
              <w:numPr>
                <w:ilvl w:val="0"/>
                <w:numId w:val="12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aktualne zdjęcia </w:t>
            </w:r>
            <w:r w:rsidR="00C50B4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zgodne z wymaganiami stosowanymi przy 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składaniu wniosku </w:t>
            </w:r>
            <w:r w:rsidR="002A330A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wydanie 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dowodu  osobistego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C50B4D" w:rsidRPr="00B057B3" w:rsidRDefault="00C50B4D" w:rsidP="00B057B3">
            <w:pPr>
              <w:pStyle w:val="Akapitzlist"/>
              <w:numPr>
                <w:ilvl w:val="0"/>
                <w:numId w:val="12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informację 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kandydacie 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Krajowego Rejestru Karneg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o, </w:t>
            </w:r>
          </w:p>
          <w:p w:rsidR="00AF18DD" w:rsidRPr="00B057B3" w:rsidRDefault="00C50B4D" w:rsidP="00B057B3">
            <w:pPr>
              <w:pStyle w:val="Akapitzlist"/>
              <w:numPr>
                <w:ilvl w:val="0"/>
                <w:numId w:val="12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oświadczenie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kandydata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że nie 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prowadzone przeciwko niemu postępowanie o przestępstwo ścigane z oskarżenia publicznego lub przestępstwo skarbowe,</w:t>
            </w:r>
          </w:p>
          <w:p w:rsidR="00C50B4D" w:rsidRPr="00B057B3" w:rsidRDefault="007A0795" w:rsidP="00B057B3">
            <w:pPr>
              <w:pStyle w:val="Akapitzlist"/>
              <w:numPr>
                <w:ilvl w:val="0"/>
                <w:numId w:val="12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oświadczenie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kandydata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że nie jest lub nie był pozbawiony władzy rodzicielskiej , a także</w:t>
            </w:r>
            <w:r w:rsidR="00ED1C4A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że władza rodzicielska nie została</w:t>
            </w:r>
            <w:r w:rsidR="004C19C7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mu 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ograniczona</w:t>
            </w:r>
            <w:r w:rsidR="00AF18D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ani zawieszona, </w:t>
            </w:r>
          </w:p>
          <w:p w:rsidR="00AF18DD" w:rsidRPr="00B057B3" w:rsidRDefault="00AF18DD" w:rsidP="00B057B3">
            <w:pPr>
              <w:pStyle w:val="Akapitzlist"/>
              <w:numPr>
                <w:ilvl w:val="0"/>
                <w:numId w:val="12"/>
              </w:num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zaświadczenie lekarskie o stanie zdrowia kandydata, wystawione przez lekarza podstawowej opieki zdrowotnej, stwierdzające brak przeciwskazań do wykonywania funkcji ławnika, </w:t>
            </w:r>
            <w:r w:rsidR="00C50B4D" w:rsidRPr="00B057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50B4D" w:rsidRDefault="00C50B4D" w:rsidP="002A330A">
            <w:pPr>
              <w:spacing w:before="75" w:after="75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18DD" w:rsidRDefault="00AF18DD" w:rsidP="002A330A">
            <w:pPr>
              <w:spacing w:before="75" w:after="75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kandydacie z Krajowego Rejes</w:t>
            </w:r>
            <w:r w:rsidR="00F52B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tru Karnego , oświadczenia kandydata na ławnika oraz zaświadczenie lekarskie powinny być opatrzone datą nie wcześniejszą niż trzydzieści dni przed dniem zgłoszenia. Natomiast odpis 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</w:t>
            </w:r>
            <w:r w:rsidR="00F52B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Krajowego Rejestru Sądowego albo odpis lub zaświadczenie potwierdzające wpis organizacji społecznej lub zawodowej do właściwego rejestru lub ewidencji powinny mieć datę nie wcześniejszą niż trzy miesiące przed dniem zgłoszenia. </w:t>
            </w:r>
          </w:p>
          <w:p w:rsidR="00F52B0A" w:rsidRDefault="00F52B0A" w:rsidP="002A330A">
            <w:pPr>
              <w:spacing w:before="75" w:after="75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Koszty opłaty za wydanie informacji z Krajowego Rejestru Karnego oraz aktualnego  odpisu z Krajowego Rejestru Sądowego albo odpisu lub zaświadczenia innego właściwego rejestru lub ewidencji ponosi Skarb Państwa. </w:t>
            </w:r>
          </w:p>
          <w:p w:rsidR="005E18CB" w:rsidRDefault="00F52B0A" w:rsidP="002A330A">
            <w:pPr>
              <w:spacing w:before="75" w:after="75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Opłaty za badania lekarskie i za wystawienie zaświadczenia lekarskiego ponosi kandydat na ławnika. </w:t>
            </w:r>
          </w:p>
          <w:p w:rsidR="002A330A" w:rsidRPr="00AF18DD" w:rsidRDefault="002A330A" w:rsidP="002A330A">
            <w:pPr>
              <w:spacing w:before="75" w:after="75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D202C" w:rsidRDefault="005D202C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zgłoszenia kandydata na ławnika przez stowarzyszenie</w:t>
            </w:r>
            <w:r w:rsidR="001E4A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5E18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</w:t>
            </w: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inną organizację społeczną lub zawodową należy dołączyć aktualny odpis KRS , albo odpis lub zaświadczenie potwierdzające wpis do innego właściwego rejestru lub ewidencji dotyczącej tej organizacji.</w:t>
            </w:r>
          </w:p>
          <w:p w:rsidR="00687E1C" w:rsidRPr="00C50B4D" w:rsidRDefault="00687E1C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Jednocześnie informujemy, że zgodnie z informacją Prezesa Sądu Okręgowego</w:t>
            </w: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</w:t>
            </w: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Częstochowie Rada Gminy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Dąbrowa Zielona</w:t>
            </w:r>
            <w:r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nową kadencję będzie wybierała</w:t>
            </w:r>
            <w:r w:rsidR="00687E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ławników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687E1C" w:rsidRPr="00C50B4D" w:rsidRDefault="00687E1C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0B4D" w:rsidRPr="00EF763F" w:rsidRDefault="00C50B4D" w:rsidP="00EF763F">
            <w:pPr>
              <w:pStyle w:val="Akapitzlist"/>
              <w:numPr>
                <w:ilvl w:val="0"/>
                <w:numId w:val="8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F76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Sądu Okręg</w:t>
            </w:r>
            <w:r w:rsidR="001E4ABE" w:rsidRPr="00EF76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owego w Częstochowie          </w:t>
            </w:r>
            <w:r w:rsidR="001E4ABE" w:rsidRPr="00EF76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 </w:t>
            </w:r>
            <w:r w:rsidR="002A330A" w:rsidRPr="00EF76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  <w:p w:rsidR="001E4ABE" w:rsidRPr="00C50B4D" w:rsidRDefault="001E4ABE" w:rsidP="003B4DF5">
            <w:pPr>
              <w:spacing w:after="0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w tym do Sądu Pracy                      </w:t>
            </w:r>
            <w:r w:rsidR="00EF76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 -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1E4ABE" w:rsidRPr="00EF763F" w:rsidRDefault="00C50B4D" w:rsidP="00EF763F">
            <w:pPr>
              <w:pStyle w:val="Akapitzlist"/>
              <w:numPr>
                <w:ilvl w:val="0"/>
                <w:numId w:val="8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76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Sądu Rejon</w:t>
            </w:r>
            <w:r w:rsidR="001E4ABE" w:rsidRPr="00EF76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owego w Częstochowie           </w:t>
            </w:r>
            <w:r w:rsidR="001E4ABE" w:rsidRPr="00EF76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- 1</w:t>
            </w:r>
            <w:r w:rsidR="001E4ABE" w:rsidRPr="00EF76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687E1C" w:rsidRDefault="001E4ABE" w:rsidP="00EF763F">
            <w:pPr>
              <w:spacing w:after="0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</w:t>
            </w:r>
            <w:r w:rsidR="00C50B4D" w:rsidRPr="007E5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tym  do Sądu </w:t>
            </w:r>
            <w:r w:rsidR="00C50B4D" w:rsidRP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Pracy </w:t>
            </w:r>
            <w:r w:rsidRP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</w:t>
            </w:r>
            <w:r w:rsidR="003B4D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F76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</w:t>
            </w:r>
            <w:r w:rsidRP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C50B4D" w:rsidRP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50B4D" w:rsidRPr="00C50B4D" w:rsidRDefault="00C50B4D" w:rsidP="002A330A">
            <w:pPr>
              <w:spacing w:after="0" w:line="300" w:lineRule="atLeast"/>
              <w:ind w:left="3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87E1C" w:rsidRDefault="00C50B4D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Zgłoszenia kandydatów, które nie spełniają wymogów określonych w ustawie 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rozporz</w:t>
            </w:r>
            <w:r w:rsidR="00F129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ądzeniu, lub które wpłynęły do Rady G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miny</w:t>
            </w:r>
            <w:r w:rsidR="00F129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A33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Dąbrowa Zielona</w:t>
            </w:r>
            <w:r w:rsidR="00F129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 upływie terminu</w:t>
            </w:r>
            <w:r w:rsidR="003407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tj. do </w:t>
            </w:r>
            <w:r w:rsidR="006521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czerwca 2019</w:t>
            </w:r>
            <w:r w:rsidR="00687E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="006521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687E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pozostawia się bez biegu. </w:t>
            </w:r>
          </w:p>
          <w:p w:rsidR="00C50B4D" w:rsidRPr="00C50B4D" w:rsidRDefault="00C50B4D" w:rsidP="002A330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Przywrócenie terminu do zgłoszenia kandydatów jest niedopuszczalne.</w:t>
            </w: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 dokumenty należ</w:t>
            </w:r>
            <w:r w:rsidRPr="007E5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y sk</w:t>
            </w:r>
            <w:r w:rsidR="00652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ładać w Urzędzie Gminy </w:t>
            </w:r>
            <w:r w:rsidR="002A3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Dąbrowa Zielona</w:t>
            </w:r>
            <w:r w:rsidRPr="007E5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652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</w:t>
            </w:r>
            <w:r w:rsidR="002A3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Pl. Kościuszki 31</w:t>
            </w:r>
            <w:r w:rsidRPr="007E5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,  pokój Nr </w:t>
            </w:r>
            <w:r w:rsidR="002A3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112</w:t>
            </w:r>
            <w:r w:rsidRPr="007E5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 terminie do </w:t>
            </w: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30 cz</w:t>
            </w:r>
            <w:r w:rsidR="001E4AB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erwca 2019</w:t>
            </w:r>
            <w:r w:rsidR="00A8014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roku</w:t>
            </w: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:rsidR="00C50B4D" w:rsidRPr="00C50B4D" w:rsidRDefault="00C50B4D" w:rsidP="002A330A">
            <w:pPr>
              <w:spacing w:before="75" w:after="75" w:line="3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0B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Załączniki do pobrania:</w:t>
            </w:r>
          </w:p>
          <w:p w:rsidR="00C50B4D" w:rsidRPr="00C50B4D" w:rsidRDefault="00B057B3" w:rsidP="002A330A">
            <w:pPr>
              <w:numPr>
                <w:ilvl w:val="0"/>
                <w:numId w:val="7"/>
              </w:numPr>
              <w:spacing w:after="0" w:line="300" w:lineRule="atLeast"/>
              <w:ind w:left="3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hyperlink r:id="rId7" w:history="1">
              <w:r w:rsidR="00C50B4D" w:rsidRPr="00C50B4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>karta zgłoszenia</w:t>
              </w:r>
            </w:hyperlink>
          </w:p>
          <w:p w:rsidR="00C50B4D" w:rsidRPr="003F745F" w:rsidRDefault="00B057B3" w:rsidP="002A330A">
            <w:pPr>
              <w:numPr>
                <w:ilvl w:val="0"/>
                <w:numId w:val="7"/>
              </w:numPr>
              <w:spacing w:after="0" w:line="300" w:lineRule="atLeast"/>
              <w:ind w:left="3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hyperlink r:id="rId8" w:history="1">
              <w:r w:rsidR="00C50B4D" w:rsidRPr="00C50B4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lista </w:t>
              </w:r>
              <w:r w:rsidR="005E18CB" w:rsidRPr="00C50B4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>osób</w:t>
              </w:r>
              <w:r w:rsidR="007231AB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r w:rsidR="005E18CB" w:rsidRPr="00C50B4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>popierających</w:t>
              </w:r>
              <w:r w:rsidR="00C50B4D" w:rsidRPr="00C50B4D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 kandydata na ławnika</w:t>
              </w:r>
            </w:hyperlink>
          </w:p>
          <w:p w:rsidR="003F745F" w:rsidRDefault="003F745F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:rsidR="00012131" w:rsidRDefault="00012131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:rsidR="00012131" w:rsidRDefault="00012131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:rsidR="00012131" w:rsidRPr="00012131" w:rsidRDefault="00012131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1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F745F" w:rsidRDefault="003F745F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:rsidR="003F745F" w:rsidRDefault="003F745F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:rsidR="003F745F" w:rsidRDefault="003F745F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:rsidR="003F745F" w:rsidRDefault="003F745F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:rsidR="003F745F" w:rsidRPr="00C50B4D" w:rsidRDefault="003F745F" w:rsidP="002A330A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A732C" w:rsidRPr="007E520F" w:rsidRDefault="001A732C"/>
    <w:sectPr w:rsidR="001A732C" w:rsidRPr="007E520F" w:rsidSect="00AF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6DC"/>
    <w:multiLevelType w:val="multilevel"/>
    <w:tmpl w:val="84C84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363BE"/>
    <w:multiLevelType w:val="multilevel"/>
    <w:tmpl w:val="EB0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12616"/>
    <w:multiLevelType w:val="hybridMultilevel"/>
    <w:tmpl w:val="CA3E4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429C"/>
    <w:multiLevelType w:val="multilevel"/>
    <w:tmpl w:val="272E7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D48F2"/>
    <w:multiLevelType w:val="multilevel"/>
    <w:tmpl w:val="667E8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72EB3"/>
    <w:multiLevelType w:val="hybridMultilevel"/>
    <w:tmpl w:val="73B20A9E"/>
    <w:lvl w:ilvl="0" w:tplc="A77E3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789F"/>
    <w:multiLevelType w:val="multilevel"/>
    <w:tmpl w:val="4E1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D1978"/>
    <w:multiLevelType w:val="hybridMultilevel"/>
    <w:tmpl w:val="4D68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0405"/>
    <w:multiLevelType w:val="hybridMultilevel"/>
    <w:tmpl w:val="2034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96789"/>
    <w:multiLevelType w:val="multilevel"/>
    <w:tmpl w:val="5B5C3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107D9"/>
    <w:multiLevelType w:val="multilevel"/>
    <w:tmpl w:val="6E36A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135CF"/>
    <w:multiLevelType w:val="hybridMultilevel"/>
    <w:tmpl w:val="77C6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4D"/>
    <w:rsid w:val="00012131"/>
    <w:rsid w:val="00096B6A"/>
    <w:rsid w:val="001A732C"/>
    <w:rsid w:val="001E4ABE"/>
    <w:rsid w:val="002A330A"/>
    <w:rsid w:val="002B6AB9"/>
    <w:rsid w:val="00340724"/>
    <w:rsid w:val="003B4DF5"/>
    <w:rsid w:val="003E0C71"/>
    <w:rsid w:val="003F745F"/>
    <w:rsid w:val="00473CC7"/>
    <w:rsid w:val="004C19C7"/>
    <w:rsid w:val="00532BE3"/>
    <w:rsid w:val="005D202C"/>
    <w:rsid w:val="005E18CB"/>
    <w:rsid w:val="00652177"/>
    <w:rsid w:val="006766E1"/>
    <w:rsid w:val="00687E1C"/>
    <w:rsid w:val="006C7456"/>
    <w:rsid w:val="007231AB"/>
    <w:rsid w:val="007A0795"/>
    <w:rsid w:val="007E1034"/>
    <w:rsid w:val="007E520F"/>
    <w:rsid w:val="00A47CDE"/>
    <w:rsid w:val="00A80140"/>
    <w:rsid w:val="00AA75EB"/>
    <w:rsid w:val="00AF18DD"/>
    <w:rsid w:val="00AF34C6"/>
    <w:rsid w:val="00B057B3"/>
    <w:rsid w:val="00B72B02"/>
    <w:rsid w:val="00C50B4D"/>
    <w:rsid w:val="00D46E2D"/>
    <w:rsid w:val="00ED1C4A"/>
    <w:rsid w:val="00EF763F"/>
    <w:rsid w:val="00F129D6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71F0"/>
  <w15:docId w15:val="{C50B24B2-1B19-45CE-8FC3-2DFED08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B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3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ie.pl/images/stories/lista_osob_popierajacych_kandydata_na_lawnika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pie.pl/images/stories/Karta_zgoszeniowa_po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browazielo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BE85-5344-4B5F-8D0A-8D52B80D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Poczesna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Urząd Gminy</cp:lastModifiedBy>
  <cp:revision>5</cp:revision>
  <cp:lastPrinted>2019-04-17T06:12:00Z</cp:lastPrinted>
  <dcterms:created xsi:type="dcterms:W3CDTF">2019-05-20T10:10:00Z</dcterms:created>
  <dcterms:modified xsi:type="dcterms:W3CDTF">2019-05-20T10:50:00Z</dcterms:modified>
</cp:coreProperties>
</file>